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06" w:rsidRDefault="00E06D06">
      <w:bookmarkStart w:id="0" w:name="_GoBack"/>
      <w:bookmarkEnd w:id="0"/>
      <w:r>
        <w:t xml:space="preserve">   </w:t>
      </w:r>
    </w:p>
    <w:tbl>
      <w:tblPr>
        <w:tblW w:w="11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3505"/>
        <w:gridCol w:w="1397"/>
        <w:gridCol w:w="1362"/>
        <w:gridCol w:w="1372"/>
        <w:gridCol w:w="2568"/>
      </w:tblGrid>
      <w:tr w:rsidR="00E06D06">
        <w:trPr>
          <w:trHeight w:val="315"/>
          <w:jc w:val="center"/>
        </w:trPr>
        <w:tc>
          <w:tcPr>
            <w:tcW w:w="11500" w:type="dxa"/>
            <w:gridSpan w:val="6"/>
            <w:shd w:val="clear" w:color="auto" w:fill="auto"/>
            <w:noWrap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  <w:color w:val="26282F"/>
              </w:rPr>
            </w:pPr>
            <w:r>
              <w:rPr>
                <w:rFonts w:ascii="Arial" w:hAnsi="Arial" w:cs="Arial"/>
                <w:b/>
                <w:bCs/>
                <w:color w:val="26282F"/>
              </w:rPr>
              <w:t>Форма раскрытия информации</w:t>
            </w:r>
          </w:p>
        </w:tc>
      </w:tr>
      <w:tr w:rsidR="00E06D06">
        <w:trPr>
          <w:trHeight w:val="300"/>
          <w:jc w:val="center"/>
        </w:trPr>
        <w:tc>
          <w:tcPr>
            <w:tcW w:w="11500" w:type="dxa"/>
            <w:gridSpan w:val="6"/>
            <w:vMerge w:val="restart"/>
            <w:shd w:val="clear" w:color="auto" w:fill="auto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  <w:color w:val="26282F"/>
              </w:rPr>
            </w:pPr>
            <w:r>
              <w:rPr>
                <w:rFonts w:ascii="Arial" w:hAnsi="Arial" w:cs="Arial"/>
                <w:b/>
                <w:bCs/>
                <w:color w:val="26282F"/>
              </w:rPr>
              <w:t>о структуре и объемах затрат на оказание услуг по передаче электрической энергии сетевыми организациями, регулирование деятельности которых осуществляется методом долгосрочной индексации необходимой валовой выручки</w:t>
            </w:r>
          </w:p>
        </w:tc>
      </w:tr>
      <w:tr w:rsidR="00E06D06">
        <w:trPr>
          <w:trHeight w:val="300"/>
          <w:jc w:val="center"/>
        </w:trPr>
        <w:tc>
          <w:tcPr>
            <w:tcW w:w="0" w:type="auto"/>
            <w:gridSpan w:val="6"/>
            <w:vMerge/>
            <w:vAlign w:val="center"/>
            <w:hideMark/>
          </w:tcPr>
          <w:p w:rsidR="00E06D06" w:rsidRDefault="00E06D06">
            <w:pPr>
              <w:rPr>
                <w:rFonts w:ascii="Arial" w:hAnsi="Arial" w:cs="Arial"/>
                <w:b/>
                <w:bCs/>
                <w:color w:val="26282F"/>
              </w:rPr>
            </w:pPr>
          </w:p>
        </w:tc>
      </w:tr>
      <w:tr w:rsidR="00E06D06">
        <w:trPr>
          <w:trHeight w:val="31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организации: ЗАО "ЮЭК"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06D06">
        <w:trPr>
          <w:trHeight w:val="31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ИНН: 7704262319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06D06">
        <w:trPr>
          <w:trHeight w:val="315"/>
          <w:jc w:val="center"/>
        </w:trPr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КПП: 770401001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К инд.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1,0355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06D06">
        <w:trPr>
          <w:trHeight w:val="315"/>
          <w:jc w:val="center"/>
        </w:trPr>
        <w:tc>
          <w:tcPr>
            <w:tcW w:w="0" w:type="auto"/>
            <w:gridSpan w:val="3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Долгосрочный период регулирования: 2015- 2019гг.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06D06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E06D06" w:rsidRDefault="00E06D0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3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Показатель</w:t>
            </w:r>
          </w:p>
        </w:tc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 изм.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Год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hyperlink w:anchor="RANGE!sub_2333" w:history="1">
              <w:r>
                <w:rPr>
                  <w:rStyle w:val="a3"/>
                  <w:rFonts w:ascii="Arial" w:hAnsi="Arial" w:cs="Arial"/>
                  <w:color w:val="auto"/>
                  <w:u w:val="none"/>
                </w:rPr>
                <w:t>Примечание*(3)</w:t>
              </w:r>
            </w:hyperlink>
          </w:p>
        </w:tc>
      </w:tr>
      <w:tr w:rsidR="00E06D06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hyperlink w:anchor="RANGE!sub_2111" w:history="1">
              <w:r>
                <w:rPr>
                  <w:rStyle w:val="a3"/>
                  <w:rFonts w:ascii="Arial" w:hAnsi="Arial" w:cs="Arial"/>
                  <w:color w:val="auto"/>
                  <w:u w:val="none"/>
                </w:rPr>
                <w:t>план*(1)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hyperlink w:anchor="RANGE!sub_2222" w:history="1">
              <w:r>
                <w:rPr>
                  <w:rStyle w:val="a3"/>
                  <w:rFonts w:ascii="Arial" w:hAnsi="Arial" w:cs="Arial"/>
                  <w:color w:val="auto"/>
                  <w:u w:val="none"/>
                </w:rPr>
                <w:t>факт*(2)</w:t>
              </w:r>
            </w:hyperlink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Структура затрат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Необходимая валовая выручка на содержание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36 143,01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41 802,08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3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Подконтрольные расходы, 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23 567,81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28 658,60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Материальные расходы, 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3 306,94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9 888,50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9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на сырье, материалы, запасные части, инструмент, топливо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2 097,43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2 967,60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 ремонт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632,50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18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1.1.1.3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на работы и услуги производственного характера (в том числе услуги сторонних организаций по содержанию сетей и распределительных устройств)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1 209,51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6 288,40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1.1.1.3.1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на ремонт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580,80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1.1.2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Фонд оплаты труда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17 652,20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17 132,70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315"/>
          <w:jc w:val="center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1.1.2.1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на ремонт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229,45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Прочие подконтрольные расходы (с расшифровкой)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2 608,67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1 637,40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9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прибыль на социальное развитие (включая социальные выплаты)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1 471,02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562,40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транспортные услуги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1.1.3.3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Calibri" w:hAnsi="Calibri"/>
                <w:sz w:val="22"/>
                <w:szCs w:val="22"/>
                <w:u w:val="single"/>
              </w:rPr>
            </w:pPr>
            <w:hyperlink w:anchor="RANGE!sub_2444" w:history="1">
              <w:r>
                <w:rPr>
                  <w:rStyle w:val="a3"/>
                  <w:rFonts w:ascii="Calibri" w:hAnsi="Calibri"/>
                  <w:color w:val="auto"/>
                  <w:sz w:val="22"/>
                  <w:szCs w:val="22"/>
                </w:rPr>
                <w:t>в том числе прочие расходы (с расшифровкой)*(4)</w:t>
              </w:r>
            </w:hyperlink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1 137,65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1 075,00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12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на обслуживание операционных заемных сре</w:t>
            </w:r>
            <w:proofErr w:type="gramStart"/>
            <w:r>
              <w:rPr>
                <w:rFonts w:ascii="Arial" w:hAnsi="Arial" w:cs="Arial"/>
              </w:rPr>
              <w:t>дств в с</w:t>
            </w:r>
            <w:proofErr w:type="gramEnd"/>
            <w:r>
              <w:rPr>
                <w:rFonts w:ascii="Arial" w:hAnsi="Arial" w:cs="Arial"/>
              </w:rPr>
              <w:t>оставе подконтрольных расходов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1.1.5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из прибыли в составе подконтрольных расходов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Неподконтрольные расходы, включенные в НВВ, 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12 745,68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13 143,48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Оплата услуг ОАО "ФСК ЕЭС"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6 194,16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5 427,70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12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на оплату технологического присоединения к сетям смежной сетевой организации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Плата за аренду имущества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отчисления на социальные нужды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5 366,27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4 964,60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1515"/>
          <w:jc w:val="center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1.2.5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на возврат и обслуживание долгосрочных заемных средств, направляемых на финансирование капитальных вложений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амортизация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947,40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прибыль на капитальные вложения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1 450,06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1.2.8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налог на прибыль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367,75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1.2.9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прочие налоги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171,90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18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1.2.10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Расходы сетевой организации, связанные с осуществлением технологического присоединения к электрическим сетям, не включенные в плату за технологическое присоединение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181,82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9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1.2.10.1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Справочно: "Количество льготных технологических присоединений"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3615"/>
          <w:jc w:val="center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1.2.11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Средства, подлежащие дополнительному учету по результатам вступивших в законную силу решений суда, решений ФАС России, принятых по итогам рассмотрения разногласий или досудебного урегулирования споров, решения ФСТ России об отмене решения регулирующего органа, принятого им с превышением полномочий (предписания)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1.2.12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прочие неподконтрольные расходы (с расшифровкой)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15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недополученный по независящим причинам доход</w:t>
            </w:r>
            <w:proofErr w:type="gramStart"/>
            <w:r>
              <w:rPr>
                <w:rFonts w:ascii="Arial" w:hAnsi="Arial" w:cs="Arial"/>
              </w:rPr>
              <w:t xml:space="preserve"> (+)/</w:t>
            </w:r>
            <w:proofErr w:type="gramEnd"/>
            <w:r>
              <w:rPr>
                <w:rFonts w:ascii="Arial" w:hAnsi="Arial" w:cs="Arial"/>
              </w:rPr>
              <w:t>избыток средств, полученный в предыдущем периоде регулирования (-)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-170,48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9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Справочно: расходы на ремонт, всего (пункт 1.1.1.2 + пункт 1.1.2.1 + пункт 1.1.3.1)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1 442,75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9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</w:t>
            </w:r>
          </w:p>
        </w:tc>
        <w:tc>
          <w:tcPr>
            <w:tcW w:w="3900" w:type="dxa"/>
            <w:hideMark/>
          </w:tcPr>
          <w:p w:rsidR="00E06D06" w:rsidRDefault="0059698F"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2051" type="#_x0000_t75" style="position:absolute;margin-left:194.25pt;margin-top:45pt;width:46.5pt;height:18pt;z-index:1;visibility:visible;mso-position-horizontal-relative:text;mso-position-vertical-relative:text">
                  <v:imagedata r:id="rId4" o:title="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85"/>
            </w:tblGrid>
            <w:tr w:rsidR="00E06D06">
              <w:trPr>
                <w:trHeight w:val="915"/>
                <w:tblCellSpacing w:w="0" w:type="dxa"/>
              </w:trPr>
              <w:tc>
                <w:tcPr>
                  <w:tcW w:w="39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06D06" w:rsidRDefault="00E06D06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Необходимая валовая выручка на оплату технологического расхода (потерь) электроэнергии</w:t>
                  </w:r>
                </w:p>
              </w:tc>
            </w:tr>
          </w:tbl>
          <w:p w:rsidR="00E06D06" w:rsidRDefault="00E06D06"/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23 449,80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23 725,90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00"/>
          <w:jc w:val="center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Справочно: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7 550,00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6 821,20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технологических потерь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</w:tr>
      <w:tr w:rsidR="00E06D06" w:rsidTr="0059698F">
        <w:trPr>
          <w:trHeight w:val="300"/>
          <w:jc w:val="center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Справочно: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руб/кВтч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6D06" w:rsidRDefault="00E06D0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E06D06" w:rsidTr="0059698F">
        <w:trPr>
          <w:trHeight w:val="15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Цена покупки электрической энергии сетевой организацией в целях компенсации технологического расхода электрической энергии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</w:t>
            </w:r>
            <w:proofErr w:type="gramStart"/>
            <w:r>
              <w:rPr>
                <w:rFonts w:ascii="Arial" w:hAnsi="Arial" w:cs="Arial"/>
              </w:rPr>
              <w:t>.р</w:t>
            </w:r>
            <w:proofErr w:type="gramEnd"/>
            <w:r>
              <w:rPr>
                <w:rFonts w:ascii="Arial" w:hAnsi="Arial" w:cs="Arial"/>
              </w:rPr>
              <w:t>уб.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23 449,80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23 725,90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6D06" w:rsidRDefault="00E06D0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E06D06">
        <w:trPr>
          <w:trHeight w:val="21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Натуральные (количественные) показатели, используемые при определении структуры и объемов затрат на оказание услуг по передаче электрической энергии сетевыми организациями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общее количество точек подключения на конец года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шт.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2 501,00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2 560,00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Трансформаторная мощность подстанций, 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74,90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77,83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 уровне напряжения СН</w:t>
            </w: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42,96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 уровне напряжения СН</w:t>
            </w: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МВа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условных единиц по линиям электропередач, 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у.е.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636,94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636,94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уровне напряжения СН</w:t>
            </w: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у.е.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55,03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уровне напряжения СН</w:t>
            </w: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у.е.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339,17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339,17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уровне напряжения НН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у.е.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242,74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242,74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615"/>
          <w:jc w:val="center"/>
        </w:trPr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условных единиц по подстанциям, всего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у.е.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1 543,76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1 530,06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уровне напряжения СН</w:t>
            </w: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у.е.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596,50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596,50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уровне напряжения СН</w:t>
            </w: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у.е.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947,26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933,56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Длина линий электропередач, всего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247,25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247,25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уровне напряжения СН</w:t>
            </w:r>
            <w:proofErr w:type="gramStart"/>
            <w:r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32,37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уровне напряжения СН</w:t>
            </w:r>
            <w:proofErr w:type="gramStart"/>
            <w:r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 на уровне напряжения НН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км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Доля кабельных линий электропередач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>
        <w:trPr>
          <w:trHeight w:val="9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Ввод в эксплуатацию новых объектов электросетевого комплекса на конец года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61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том числе за счет платы за технологическое присоединение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тыс. руб.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E06D06" w:rsidTr="0059698F">
        <w:trPr>
          <w:trHeight w:val="1215"/>
          <w:jc w:val="center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E06D06" w:rsidRDefault="00E06D06">
            <w:pPr>
              <w:rPr>
                <w:rFonts w:ascii="Arial" w:hAnsi="Arial" w:cs="Arial"/>
              </w:rPr>
            </w:pPr>
            <w:hyperlink w:anchor="RANGE!sub_2555" w:history="1">
              <w:r>
                <w:rPr>
                  <w:rStyle w:val="a3"/>
                  <w:rFonts w:ascii="Arial" w:hAnsi="Arial" w:cs="Arial"/>
                  <w:color w:val="auto"/>
                  <w:u w:val="none"/>
                </w:rPr>
                <w:t>норматив технологического расхода (потерь) электрической энергии, установленный Минэнерго России*(5)</w:t>
              </w:r>
            </w:hyperlink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11,87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6D06" w:rsidRDefault="00E06D0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06D06" w:rsidTr="0059698F">
        <w:trPr>
          <w:jc w:val="center"/>
          <w:hidden/>
        </w:trPr>
        <w:tc>
          <w:tcPr>
            <w:tcW w:w="1140" w:type="dxa"/>
            <w:tcBorders>
              <w:top w:val="single" w:sz="4" w:space="0" w:color="auto"/>
            </w:tcBorders>
            <w:vAlign w:val="center"/>
            <w:hideMark/>
          </w:tcPr>
          <w:p w:rsidR="00E06D06" w:rsidRDefault="00E06D06">
            <w:pPr>
              <w:rPr>
                <w:vanish/>
              </w:rPr>
            </w:pPr>
          </w:p>
        </w:tc>
        <w:tc>
          <w:tcPr>
            <w:tcW w:w="3900" w:type="dxa"/>
            <w:tcBorders>
              <w:top w:val="single" w:sz="4" w:space="0" w:color="auto"/>
            </w:tcBorders>
            <w:vAlign w:val="center"/>
            <w:hideMark/>
          </w:tcPr>
          <w:p w:rsidR="00E06D06" w:rsidRDefault="00E06D06">
            <w:pPr>
              <w:rPr>
                <w:vanish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  <w:hideMark/>
          </w:tcPr>
          <w:p w:rsidR="00E06D06" w:rsidRDefault="00E06D06">
            <w:pPr>
              <w:rPr>
                <w:vanish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  <w:hideMark/>
          </w:tcPr>
          <w:p w:rsidR="00E06D06" w:rsidRDefault="00E06D06">
            <w:pPr>
              <w:rPr>
                <w:vanish/>
              </w:rPr>
            </w:pP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  <w:hideMark/>
          </w:tcPr>
          <w:p w:rsidR="00E06D06" w:rsidRDefault="00E06D06">
            <w:pPr>
              <w:rPr>
                <w:vanish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  <w:vAlign w:val="center"/>
            <w:hideMark/>
          </w:tcPr>
          <w:p w:rsidR="00E06D06" w:rsidRDefault="00E06D06">
            <w:pPr>
              <w:rPr>
                <w:vanish/>
              </w:rPr>
            </w:pPr>
          </w:p>
        </w:tc>
      </w:tr>
    </w:tbl>
    <w:p w:rsidR="00E06D06" w:rsidRDefault="00E06D06"/>
    <w:sectPr w:rsidR="00E06D06" w:rsidSect="005969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oNotTrackMoves/>
  <w:defaultTabStop w:val="708"/>
  <w:noPunctuationKerning/>
  <w:characterSpacingControl w:val="doNotCompress"/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698F"/>
    <w:rsid w:val="002732B1"/>
    <w:rsid w:val="0059698F"/>
    <w:rsid w:val="00E0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1528860">
    <w:name w:val="xl1528860"/>
    <w:basedOn w:val="a"/>
    <w:pPr>
      <w:spacing w:before="100" w:beforeAutospacing="1" w:after="100" w:afterAutospacing="1"/>
      <w:textAlignment w:val="bottom"/>
    </w:pPr>
    <w:rPr>
      <w:rFonts w:ascii="Calibri" w:hAnsi="Calibri"/>
      <w:color w:val="000000"/>
      <w:sz w:val="22"/>
      <w:szCs w:val="22"/>
    </w:rPr>
  </w:style>
  <w:style w:type="paragraph" w:customStyle="1" w:styleId="xl6528860">
    <w:name w:val="xl6528860"/>
    <w:basedOn w:val="a"/>
    <w:pPr>
      <w:spacing w:before="100" w:beforeAutospacing="1" w:after="100" w:afterAutospacing="1"/>
      <w:textAlignment w:val="bottom"/>
    </w:pPr>
    <w:rPr>
      <w:rFonts w:ascii="Arial" w:hAnsi="Arial" w:cs="Arial"/>
      <w:color w:val="000000"/>
    </w:rPr>
  </w:style>
  <w:style w:type="paragraph" w:customStyle="1" w:styleId="xl6628860">
    <w:name w:val="xl6628860"/>
    <w:basedOn w:val="a"/>
    <w:pPr>
      <w:spacing w:before="100" w:beforeAutospacing="1" w:after="100" w:afterAutospacing="1"/>
      <w:jc w:val="both"/>
      <w:textAlignment w:val="bottom"/>
    </w:pPr>
    <w:rPr>
      <w:rFonts w:ascii="Arial" w:hAnsi="Arial" w:cs="Arial"/>
      <w:color w:val="000000"/>
    </w:rPr>
  </w:style>
  <w:style w:type="paragraph" w:customStyle="1" w:styleId="xl6728860">
    <w:name w:val="xl6728860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828860">
    <w:name w:val="xl6828860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6928860">
    <w:name w:val="xl6928860"/>
    <w:basedOn w:val="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028860">
    <w:name w:val="xl7028860"/>
    <w:basedOn w:val="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128860">
    <w:name w:val="xl7128860"/>
    <w:basedOn w:val="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7228860">
    <w:name w:val="xl722886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7328860">
    <w:name w:val="xl7328860"/>
    <w:basedOn w:val="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28860">
    <w:name w:val="xl7428860"/>
    <w:basedOn w:val="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libri" w:hAnsi="Calibri"/>
      <w:sz w:val="22"/>
      <w:szCs w:val="22"/>
      <w:u w:val="single"/>
    </w:rPr>
  </w:style>
  <w:style w:type="paragraph" w:customStyle="1" w:styleId="xl7528860">
    <w:name w:val="xl7528860"/>
    <w:basedOn w:val="a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628860">
    <w:name w:val="xl7628860"/>
    <w:basedOn w:val="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28860">
    <w:name w:val="xl7728860"/>
    <w:basedOn w:val="a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28860">
    <w:name w:val="xl782886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</w:rPr>
  </w:style>
  <w:style w:type="paragraph" w:customStyle="1" w:styleId="xl7928860">
    <w:name w:val="xl792886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2"/>
      <w:szCs w:val="22"/>
    </w:rPr>
  </w:style>
  <w:style w:type="paragraph" w:customStyle="1" w:styleId="xl8028860">
    <w:name w:val="xl802886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28860">
    <w:name w:val="xl812886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28860">
    <w:name w:val="xl822886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8328860">
    <w:name w:val="xl8328860"/>
    <w:basedOn w:val="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26282F"/>
    </w:rPr>
  </w:style>
  <w:style w:type="paragraph" w:customStyle="1" w:styleId="xl8428860">
    <w:name w:val="xl8428860"/>
    <w:basedOn w:val="a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528860">
    <w:name w:val="xl8528860"/>
    <w:basedOn w:val="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26282F"/>
    </w:rPr>
  </w:style>
  <w:style w:type="paragraph" w:customStyle="1" w:styleId="xl8628860">
    <w:name w:val="xl8628860"/>
    <w:basedOn w:val="a"/>
    <w:pP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22"/>
      <w:szCs w:val="22"/>
    </w:rPr>
  </w:style>
  <w:style w:type="paragraph" w:customStyle="1" w:styleId="xl8728860">
    <w:name w:val="xl872886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28860">
    <w:name w:val="xl8828860"/>
    <w:basedOn w:val="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28860">
    <w:name w:val="xl892886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028860">
    <w:name w:val="xl902886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28860">
    <w:name w:val="xl9128860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9228860">
    <w:name w:val="xl9228860"/>
    <w:basedOn w:val="a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character" w:styleId="a3">
    <w:name w:val="Hyperlink"/>
    <w:uiPriority w:val="99"/>
    <w:semiHidden/>
    <w:unhideWhenUsed/>
    <w:rPr>
      <w:color w:val="0000FF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Фактические показатели и структура  затрат услуг и по передаче  электрической энергии за 2019 год</vt:lpstr>
    </vt:vector>
  </TitlesOfParts>
  <Company/>
  <LinksUpToDate>false</LinksUpToDate>
  <CharactersWithSpaces>5566</CharactersWithSpaces>
  <SharedDoc>false</SharedDoc>
  <HLinks>
    <vt:vector size="30" baseType="variant">
      <vt:variant>
        <vt:i4>852079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RANGE!sub_2555</vt:lpwstr>
      </vt:variant>
      <vt:variant>
        <vt:i4>852078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RANGE!sub_2444</vt:lpwstr>
      </vt:variant>
      <vt:variant>
        <vt:i4>852072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RANGE!sub_2222</vt:lpwstr>
      </vt:variant>
      <vt:variant>
        <vt:i4>852075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RANGE!sub_2111</vt:lpwstr>
      </vt:variant>
      <vt:variant>
        <vt:i4>852073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RANGE!sub_2333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Фактические показатели и структура  затрат услуг и по передаче  электрической энергии за 2019 год</dc:title>
  <dc:creator>Урбановская Анастасия Александровна</dc:creator>
  <cp:lastModifiedBy>Урбановская Анастасия Александровна</cp:lastModifiedBy>
  <cp:revision>2</cp:revision>
  <dcterms:created xsi:type="dcterms:W3CDTF">2020-09-03T10:23:00Z</dcterms:created>
  <dcterms:modified xsi:type="dcterms:W3CDTF">2020-09-03T10:23:00Z</dcterms:modified>
</cp:coreProperties>
</file>